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C673A6">
      <w:pPr>
        <w:spacing w:line="360" w:lineRule="auto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附录1：</w:t>
      </w:r>
    </w:p>
    <w:p w14:paraId="64213922">
      <w:pPr>
        <w:spacing w:line="360" w:lineRule="auto"/>
        <w:jc w:val="center"/>
        <w:rPr>
          <w:rFonts w:ascii="仿宋" w:hAnsi="仿宋" w:eastAsia="仿宋"/>
          <w:b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 w:val="0"/>
          <w:sz w:val="28"/>
          <w:szCs w:val="28"/>
          <w:highlight w:val="none"/>
        </w:rPr>
        <w:t>可申请的转段接收学科</w:t>
      </w:r>
      <w:r>
        <w:rPr>
          <w:rFonts w:ascii="仿宋" w:hAnsi="仿宋" w:eastAsia="仿宋"/>
          <w:b/>
          <w:bCs w:val="0"/>
          <w:sz w:val="28"/>
          <w:szCs w:val="28"/>
          <w:highlight w:val="none"/>
        </w:rPr>
        <w:t>专业</w:t>
      </w:r>
    </w:p>
    <w:p w14:paraId="12772DEA">
      <w:pPr>
        <w:spacing w:line="360" w:lineRule="auto"/>
        <w:ind w:firstLine="560" w:firstLineChars="200"/>
        <w:jc w:val="both"/>
        <w:rPr>
          <w:rFonts w:hint="eastAsia" w:ascii="仿宋" w:hAnsi="仿宋" w:eastAsia="仿宋"/>
          <w:b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获得转段资格的强基计划学生，只能申请转段继续攻读本校研究生。具体接收学科专业方向和研究生培养单位</w:t>
      </w:r>
      <w:r>
        <w:rPr>
          <w:rFonts w:hint="eastAsia" w:ascii="仿宋" w:hAnsi="仿宋" w:eastAsia="仿宋"/>
          <w:sz w:val="28"/>
          <w:szCs w:val="28"/>
          <w:highlight w:val="none"/>
          <w:lang w:val="en-US" w:eastAsia="zh-CN"/>
        </w:rPr>
        <w:t>参见</w:t>
      </w:r>
      <w:r>
        <w:rPr>
          <w:rFonts w:hint="eastAsia" w:ascii="仿宋" w:hAnsi="仿宋" w:eastAsia="仿宋"/>
          <w:sz w:val="28"/>
          <w:szCs w:val="28"/>
          <w:highlight w:val="none"/>
        </w:rPr>
        <w:t>《华东师范大学强基计划本研转段专业对照目录》及相关院系接收细则。</w:t>
      </w:r>
    </w:p>
    <w:p w14:paraId="3B6F43B3">
      <w:pPr>
        <w:spacing w:line="360" w:lineRule="auto"/>
        <w:ind w:firstLine="560" w:firstLineChars="200"/>
        <w:rPr>
          <w:rFonts w:hint="eastAsia" w:ascii="宋体" w:hAnsi="宋体" w:eastAsia="宋体"/>
          <w:b/>
          <w:sz w:val="24"/>
          <w:szCs w:val="24"/>
          <w:highlight w:val="none"/>
        </w:rPr>
      </w:pPr>
      <w:r>
        <w:rPr>
          <w:rFonts w:hint="eastAsia" w:ascii="仿宋" w:hAnsi="仿宋" w:eastAsia="仿宋"/>
          <w:b w:val="0"/>
          <w:sz w:val="28"/>
          <w:szCs w:val="28"/>
          <w:highlight w:val="none"/>
        </w:rPr>
        <w:t>强基计划学生原则上在当年强基计划招生专业范围内，结合本人情况、意愿，及研究生阶段院系和学科的接收条件及招生导师等情况，申请转段进入博士生或硕士生阶段</w:t>
      </w:r>
      <w:r>
        <w:rPr>
          <w:rFonts w:hint="eastAsia" w:ascii="仿宋" w:hAnsi="仿宋" w:eastAsia="仿宋"/>
          <w:sz w:val="28"/>
          <w:szCs w:val="28"/>
          <w:highlight w:val="none"/>
        </w:rPr>
        <w:t>（鼓励转入博士生阶段）</w:t>
      </w:r>
      <w:r>
        <w:rPr>
          <w:rFonts w:hint="eastAsia" w:ascii="仿宋" w:hAnsi="仿宋" w:eastAsia="仿宋"/>
          <w:b w:val="0"/>
          <w:sz w:val="28"/>
          <w:szCs w:val="28"/>
          <w:highlight w:val="none"/>
        </w:rPr>
        <w:t>深造。确有必要的，可结合国家重大战略需求，在原有强基计划关键领域范围内进行学科交叉培养。</w:t>
      </w:r>
    </w:p>
    <w:p w14:paraId="5B1DCB5A"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highlight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学生如申请转段进入哲学系，可申请进入硕士生阶段或博士生阶段（即“本科直博”）。本研学制：申请研究生为</w:t>
      </w:r>
      <w:r>
        <w:rPr>
          <w:rFonts w:ascii="仿宋" w:hAnsi="仿宋" w:eastAsia="仿宋"/>
          <w:sz w:val="28"/>
          <w:szCs w:val="28"/>
          <w:highlight w:val="none"/>
        </w:rPr>
        <w:t>3+1+</w:t>
      </w:r>
      <w:r>
        <w:rPr>
          <w:rFonts w:hint="eastAsia" w:ascii="仿宋" w:hAnsi="仿宋" w:eastAsia="仿宋"/>
          <w:sz w:val="28"/>
          <w:szCs w:val="28"/>
          <w:highlight w:val="none"/>
        </w:rPr>
        <w:t>3</w:t>
      </w:r>
      <w:r>
        <w:rPr>
          <w:rFonts w:ascii="仿宋" w:hAnsi="仿宋" w:eastAsia="仿宋"/>
          <w:sz w:val="28"/>
          <w:szCs w:val="28"/>
          <w:highlight w:val="none"/>
        </w:rPr>
        <w:t>，申请直博为3+1+</w:t>
      </w:r>
      <w:r>
        <w:rPr>
          <w:rFonts w:hint="eastAsia" w:ascii="仿宋" w:hAnsi="仿宋" w:eastAsia="仿宋"/>
          <w:sz w:val="28"/>
          <w:szCs w:val="28"/>
          <w:highlight w:val="none"/>
        </w:rPr>
        <w:t>5</w:t>
      </w:r>
      <w:r>
        <w:rPr>
          <w:rFonts w:ascii="仿宋" w:hAnsi="仿宋" w:eastAsia="仿宋"/>
          <w:sz w:val="28"/>
          <w:szCs w:val="28"/>
          <w:highlight w:val="none"/>
        </w:rPr>
        <w:t>。</w:t>
      </w:r>
      <w:r>
        <w:rPr>
          <w:rFonts w:hint="eastAsia" w:ascii="仿宋" w:hAnsi="仿宋" w:eastAsia="仿宋"/>
          <w:sz w:val="28"/>
          <w:szCs w:val="28"/>
          <w:highlight w:val="none"/>
        </w:rPr>
        <w:t>鼓励主动联系意向导师，直接攻读博士学位。</w:t>
      </w:r>
    </w:p>
    <w:p w14:paraId="720D1456">
      <w:pPr>
        <w:spacing w:line="360" w:lineRule="auto"/>
        <w:ind w:firstLine="560" w:firstLineChars="200"/>
        <w:rPr>
          <w:rFonts w:hint="eastAsia" w:ascii="仿宋" w:hAnsi="仿宋" w:eastAsia="仿宋"/>
          <w:strike w:val="0"/>
          <w:dstrike w:val="0"/>
          <w:color w:val="auto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/>
          <w:sz w:val="28"/>
          <w:szCs w:val="28"/>
          <w:highlight w:val="none"/>
        </w:rPr>
        <w:t>其他接收单位以其发布的接收细则为准</w:t>
      </w:r>
      <w:r>
        <w:rPr>
          <w:rFonts w:hint="eastAsia" w:ascii="仿宋" w:hAnsi="仿宋" w:eastAsia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/>
          <w:strike w:val="0"/>
          <w:dstrike w:val="0"/>
          <w:color w:val="auto"/>
          <w:sz w:val="28"/>
          <w:szCs w:val="28"/>
          <w:highlight w:val="none"/>
          <w:u w:val="none"/>
        </w:rPr>
        <w:fldChar w:fldCharType="begin"/>
      </w:r>
      <w:r>
        <w:rPr>
          <w:rFonts w:hint="eastAsia" w:ascii="仿宋" w:hAnsi="仿宋" w:eastAsia="仿宋"/>
          <w:strike w:val="0"/>
          <w:dstrike w:val="0"/>
          <w:color w:val="auto"/>
          <w:sz w:val="28"/>
          <w:szCs w:val="28"/>
          <w:highlight w:val="none"/>
          <w:u w:val="none"/>
        </w:rPr>
        <w:instrText xml:space="preserve"> HYPERLINK "https://yjszs-ks.ecnu.edu.cn/zsml/bszsml/indexYjxk/2024）并向志愿院系确认；拟接收、录取的学科最终以学校2025年硕士/博士研究生招生学科目录为准。" </w:instrText>
      </w:r>
      <w:r>
        <w:rPr>
          <w:rFonts w:hint="eastAsia" w:ascii="仿宋" w:hAnsi="仿宋" w:eastAsia="仿宋"/>
          <w:strike w:val="0"/>
          <w:dstrike w:val="0"/>
          <w:color w:val="auto"/>
          <w:sz w:val="28"/>
          <w:szCs w:val="28"/>
          <w:highlight w:val="none"/>
          <w:u w:val="none"/>
        </w:rPr>
        <w:fldChar w:fldCharType="separate"/>
      </w:r>
      <w:r>
        <w:rPr>
          <w:rStyle w:val="4"/>
          <w:rFonts w:ascii="仿宋" w:hAnsi="仿宋" w:eastAsia="仿宋"/>
          <w:strike w:val="0"/>
          <w:dstrike w:val="0"/>
          <w:color w:val="auto"/>
          <w:sz w:val="28"/>
          <w:szCs w:val="28"/>
          <w:highlight w:val="none"/>
          <w:u w:val="none"/>
        </w:rPr>
        <w:t>拟接收、录取的学科最终以学校202</w:t>
      </w:r>
      <w:r>
        <w:rPr>
          <w:rStyle w:val="4"/>
          <w:rFonts w:hint="eastAsia" w:ascii="仿宋" w:hAnsi="仿宋" w:eastAsia="仿宋"/>
          <w:strike w:val="0"/>
          <w:dstrike w:val="0"/>
          <w:color w:val="auto"/>
          <w:sz w:val="28"/>
          <w:szCs w:val="28"/>
          <w:highlight w:val="none"/>
          <w:u w:val="none"/>
          <w:lang w:val="en-US" w:eastAsia="zh-CN"/>
        </w:rPr>
        <w:t>6</w:t>
      </w:r>
      <w:r>
        <w:rPr>
          <w:rStyle w:val="4"/>
          <w:rFonts w:ascii="仿宋" w:hAnsi="仿宋" w:eastAsia="仿宋"/>
          <w:strike w:val="0"/>
          <w:dstrike w:val="0"/>
          <w:color w:val="auto"/>
          <w:sz w:val="28"/>
          <w:szCs w:val="28"/>
          <w:highlight w:val="none"/>
          <w:u w:val="none"/>
        </w:rPr>
        <w:t>年硕士/博士研究生招生学科目录为准</w:t>
      </w:r>
      <w:r>
        <w:rPr>
          <w:rStyle w:val="4"/>
          <w:rFonts w:hint="eastAsia" w:ascii="仿宋" w:hAnsi="仿宋" w:eastAsia="仿宋"/>
          <w:strike w:val="0"/>
          <w:dstrike w:val="0"/>
          <w:color w:val="auto"/>
          <w:sz w:val="28"/>
          <w:szCs w:val="28"/>
          <w:highlight w:val="none"/>
          <w:u w:val="none"/>
        </w:rPr>
        <w:t>。</w:t>
      </w:r>
      <w:r>
        <w:rPr>
          <w:rFonts w:hint="eastAsia" w:ascii="仿宋" w:hAnsi="仿宋" w:eastAsia="仿宋"/>
          <w:strike w:val="0"/>
          <w:dstrike w:val="0"/>
          <w:color w:val="auto"/>
          <w:sz w:val="28"/>
          <w:szCs w:val="28"/>
          <w:highlight w:val="none"/>
          <w:u w:val="none"/>
        </w:rPr>
        <w:fldChar w:fldCharType="end"/>
      </w:r>
    </w:p>
    <w:p w14:paraId="062355D8">
      <w:pPr>
        <w:spacing w:line="360" w:lineRule="auto"/>
        <w:rPr>
          <w:rFonts w:hint="eastAsia" w:ascii="仿宋" w:hAnsi="仿宋" w:eastAsia="仿宋"/>
          <w:strike w:val="0"/>
          <w:dstrike w:val="0"/>
          <w:color w:val="auto"/>
          <w:sz w:val="28"/>
          <w:szCs w:val="28"/>
          <w:u w:val="none"/>
        </w:rPr>
      </w:pPr>
    </w:p>
    <w:p w14:paraId="092D02F6">
      <w:pPr>
        <w:spacing w:line="360" w:lineRule="auto"/>
        <w:rPr>
          <w:rFonts w:hint="eastAsia" w:ascii="仿宋" w:hAnsi="仿宋" w:eastAsia="仿宋"/>
          <w:strike w:val="0"/>
          <w:dstrike w:val="0"/>
          <w:color w:val="auto"/>
          <w:sz w:val="28"/>
          <w:szCs w:val="28"/>
          <w:u w:val="none"/>
        </w:rPr>
      </w:pPr>
    </w:p>
    <w:p w14:paraId="2DE5DF6C">
      <w:pPr>
        <w:spacing w:line="360" w:lineRule="auto"/>
        <w:rPr>
          <w:rFonts w:hint="eastAsia" w:ascii="仿宋" w:hAnsi="仿宋" w:eastAsia="仿宋"/>
          <w:strike w:val="0"/>
          <w:dstrike w:val="0"/>
          <w:color w:val="auto"/>
          <w:sz w:val="28"/>
          <w:szCs w:val="28"/>
          <w:u w:val="none"/>
        </w:rPr>
      </w:pPr>
    </w:p>
    <w:p w14:paraId="5195DD4E">
      <w:pPr>
        <w:spacing w:line="360" w:lineRule="auto"/>
        <w:rPr>
          <w:rFonts w:hint="eastAsia" w:ascii="仿宋" w:hAnsi="仿宋" w:eastAsia="仿宋"/>
          <w:strike w:val="0"/>
          <w:dstrike w:val="0"/>
          <w:color w:val="auto"/>
          <w:sz w:val="28"/>
          <w:szCs w:val="28"/>
          <w:u w:val="none"/>
        </w:rPr>
      </w:pPr>
    </w:p>
    <w:p w14:paraId="4480555C">
      <w:pPr>
        <w:spacing w:line="360" w:lineRule="auto"/>
        <w:rPr>
          <w:rFonts w:hint="eastAsia" w:ascii="仿宋" w:hAnsi="仿宋" w:eastAsia="仿宋"/>
          <w:strike w:val="0"/>
          <w:dstrike w:val="0"/>
          <w:color w:val="auto"/>
          <w:sz w:val="28"/>
          <w:szCs w:val="28"/>
          <w:u w:val="none"/>
        </w:rPr>
      </w:pPr>
    </w:p>
    <w:p w14:paraId="2742EB0B">
      <w:pPr>
        <w:spacing w:line="360" w:lineRule="auto"/>
        <w:rPr>
          <w:rFonts w:hint="eastAsia" w:ascii="仿宋" w:hAnsi="仿宋" w:eastAsia="仿宋"/>
          <w:strike w:val="0"/>
          <w:dstrike w:val="0"/>
          <w:color w:val="auto"/>
          <w:sz w:val="28"/>
          <w:szCs w:val="28"/>
          <w:u w:val="none"/>
        </w:rPr>
      </w:pPr>
    </w:p>
    <w:p w14:paraId="72D52D0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C1B3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2025-04-08T02:40:01Z</dcterms:created>
  <dc:creator>Administrator.DESKTOP-ONS8MGP</dc:creator>
  <cp:lastModifiedBy>蔡彦如</cp:lastModifiedBy>
  <dcterms:modified xsi:type="dcterms:W3CDTF">2025-04-08T02:40:33Z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eyJoZGlkIjoiYjUyNGU4ODcxMWY0MDMwMzAyOTM2OTA5ZTcwNzY3YzAiLCJ1c2VySWQiOiI0NDUyOTI1NzcifQ==</vt:lpwstr>
  </property>
  <property fmtid="{D5CDD505-2E9C-101B-9397-08002B2CF9AE}" pid="4" name="ICV">
    <vt:lpwstr>2FD3FE16C2FD40D3B0503EFDBAC04DEC_12</vt:lpwstr>
  </property>
</Properties>
</file>